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9</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1</w:t>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一百一十、霸州市扬芬港镇第八小学收支预算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556.36</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556.36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556.36</w:t>
            </w:r>
          </w:p>
        </w:tc>
        <w:tc>
          <w:tcPr>
            <w:tcW w:w="4535" w:type="dxa"/>
            <w:vAlign w:val="center"/>
          </w:tcPr>
          <w:p>
            <w:pPr>
              <w:pStyle w:val="25"/>
            </w:pPr>
            <w:r>
              <w:t>本年支出合计</w:t>
            </w:r>
          </w:p>
        </w:tc>
        <w:tc>
          <w:tcPr>
            <w:tcW w:w="2126" w:type="dxa"/>
            <w:vAlign w:val="center"/>
          </w:tcPr>
          <w:p>
            <w:pPr>
              <w:pStyle w:val="26"/>
            </w:pPr>
            <w:r>
              <w:t>556.36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556.36</w:t>
            </w:r>
          </w:p>
        </w:tc>
        <w:tc>
          <w:tcPr>
            <w:tcW w:w="4535" w:type="dxa"/>
            <w:vAlign w:val="center"/>
          </w:tcPr>
          <w:p>
            <w:pPr>
              <w:pStyle w:val="25"/>
            </w:pPr>
            <w:r>
              <w:t>支出总计</w:t>
            </w:r>
          </w:p>
        </w:tc>
        <w:tc>
          <w:tcPr>
            <w:tcW w:w="2126" w:type="dxa"/>
            <w:vAlign w:val="center"/>
          </w:tcPr>
          <w:p>
            <w:pPr>
              <w:pStyle w:val="26"/>
            </w:pPr>
            <w:r>
              <w:t>556.36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501624霸州市扬芬港镇第八小学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556.36</w:t>
            </w:r>
          </w:p>
        </w:tc>
        <w:tc>
          <w:tcPr>
            <w:tcW w:w="1134" w:type="dxa"/>
            <w:vAlign w:val="center"/>
          </w:tcPr>
          <w:p>
            <w:pPr>
              <w:pStyle w:val="26"/>
            </w:pPr>
            <w:r>
              <w:t>556.36</w:t>
            </w:r>
          </w:p>
        </w:tc>
        <w:tc>
          <w:tcPr>
            <w:tcW w:w="1134" w:type="dxa"/>
            <w:vAlign w:val="center"/>
          </w:tcPr>
          <w:p>
            <w:pPr>
              <w:pStyle w:val="26"/>
            </w:pPr>
            <w:r>
              <w:t>556.36</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556.36</w:t>
            </w:r>
          </w:p>
        </w:tc>
        <w:tc>
          <w:tcPr>
            <w:tcW w:w="1134" w:type="dxa"/>
            <w:vAlign w:val="center"/>
          </w:tcPr>
          <w:p>
            <w:pPr>
              <w:pStyle w:val="22"/>
            </w:pPr>
            <w:r>
              <w:t>556.36</w:t>
            </w:r>
          </w:p>
        </w:tc>
        <w:tc>
          <w:tcPr>
            <w:tcW w:w="1134" w:type="dxa"/>
            <w:vAlign w:val="center"/>
          </w:tcPr>
          <w:p>
            <w:pPr>
              <w:pStyle w:val="22"/>
            </w:pPr>
            <w:r>
              <w:t>556.36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556.36</w:t>
            </w:r>
          </w:p>
        </w:tc>
        <w:tc>
          <w:tcPr>
            <w:tcW w:w="1134" w:type="dxa"/>
            <w:vAlign w:val="center"/>
          </w:tcPr>
          <w:p>
            <w:pPr>
              <w:pStyle w:val="22"/>
            </w:pPr>
            <w:r>
              <w:t>556.36</w:t>
            </w:r>
          </w:p>
        </w:tc>
        <w:tc>
          <w:tcPr>
            <w:tcW w:w="1134" w:type="dxa"/>
            <w:vAlign w:val="center"/>
          </w:tcPr>
          <w:p>
            <w:pPr>
              <w:pStyle w:val="22"/>
            </w:pPr>
            <w:r>
              <w:t>556.36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14.76</w:t>
            </w:r>
          </w:p>
        </w:tc>
        <w:tc>
          <w:tcPr>
            <w:tcW w:w="1134" w:type="dxa"/>
            <w:vAlign w:val="center"/>
          </w:tcPr>
          <w:p>
            <w:pPr>
              <w:pStyle w:val="22"/>
            </w:pPr>
            <w:r>
              <w:t>14.76</w:t>
            </w:r>
          </w:p>
        </w:tc>
        <w:tc>
          <w:tcPr>
            <w:tcW w:w="1134" w:type="dxa"/>
            <w:vAlign w:val="center"/>
          </w:tcPr>
          <w:p>
            <w:pPr>
              <w:pStyle w:val="22"/>
            </w:pPr>
            <w:r>
              <w:t>14.76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541.60</w:t>
            </w:r>
          </w:p>
        </w:tc>
        <w:tc>
          <w:tcPr>
            <w:tcW w:w="1134" w:type="dxa"/>
            <w:vAlign w:val="center"/>
          </w:tcPr>
          <w:p>
            <w:pPr>
              <w:pStyle w:val="22"/>
            </w:pPr>
            <w:r>
              <w:t>541.60</w:t>
            </w:r>
          </w:p>
        </w:tc>
        <w:tc>
          <w:tcPr>
            <w:tcW w:w="1134" w:type="dxa"/>
            <w:vAlign w:val="center"/>
          </w:tcPr>
          <w:p>
            <w:pPr>
              <w:pStyle w:val="22"/>
            </w:pPr>
            <w:r>
              <w:t>541.60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556.36</w:t>
            </w:r>
          </w:p>
        </w:tc>
        <w:tc>
          <w:tcPr>
            <w:tcW w:w="1361" w:type="dxa"/>
            <w:vAlign w:val="center"/>
          </w:tcPr>
          <w:p>
            <w:pPr>
              <w:pStyle w:val="26"/>
            </w:pPr>
            <w:r>
              <w:t>521.56</w:t>
            </w:r>
          </w:p>
        </w:tc>
        <w:tc>
          <w:tcPr>
            <w:tcW w:w="1361" w:type="dxa"/>
            <w:vAlign w:val="center"/>
          </w:tcPr>
          <w:p>
            <w:pPr>
              <w:pStyle w:val="26"/>
            </w:pPr>
            <w:r>
              <w:t>34.80</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556.36</w:t>
            </w:r>
          </w:p>
        </w:tc>
        <w:tc>
          <w:tcPr>
            <w:tcW w:w="1361" w:type="dxa"/>
            <w:vAlign w:val="center"/>
          </w:tcPr>
          <w:p>
            <w:pPr>
              <w:pStyle w:val="22"/>
            </w:pPr>
            <w:r>
              <w:t>521.56</w:t>
            </w:r>
          </w:p>
        </w:tc>
        <w:tc>
          <w:tcPr>
            <w:tcW w:w="1361" w:type="dxa"/>
            <w:vAlign w:val="center"/>
          </w:tcPr>
          <w:p>
            <w:pPr>
              <w:pStyle w:val="22"/>
            </w:pPr>
            <w:r>
              <w:t>34.80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556.36</w:t>
            </w:r>
          </w:p>
        </w:tc>
        <w:tc>
          <w:tcPr>
            <w:tcW w:w="1361" w:type="dxa"/>
            <w:vAlign w:val="center"/>
          </w:tcPr>
          <w:p>
            <w:pPr>
              <w:pStyle w:val="22"/>
            </w:pPr>
            <w:r>
              <w:t>521.56</w:t>
            </w:r>
          </w:p>
        </w:tc>
        <w:tc>
          <w:tcPr>
            <w:tcW w:w="1361" w:type="dxa"/>
            <w:vAlign w:val="center"/>
          </w:tcPr>
          <w:p>
            <w:pPr>
              <w:pStyle w:val="22"/>
            </w:pPr>
            <w:r>
              <w:t>34.80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14.76</w:t>
            </w:r>
          </w:p>
        </w:tc>
        <w:tc>
          <w:tcPr>
            <w:tcW w:w="1361" w:type="dxa"/>
            <w:vAlign w:val="center"/>
          </w:tcPr>
          <w:p>
            <w:pPr>
              <w:pStyle w:val="22"/>
            </w:pPr>
            <w:r>
              <w:t>2.76</w:t>
            </w:r>
          </w:p>
        </w:tc>
        <w:tc>
          <w:tcPr>
            <w:tcW w:w="1361" w:type="dxa"/>
            <w:vAlign w:val="center"/>
          </w:tcPr>
          <w:p>
            <w:pPr>
              <w:pStyle w:val="22"/>
            </w:pPr>
            <w:r>
              <w:t>12.00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541.60</w:t>
            </w:r>
          </w:p>
        </w:tc>
        <w:tc>
          <w:tcPr>
            <w:tcW w:w="1361" w:type="dxa"/>
            <w:vAlign w:val="center"/>
          </w:tcPr>
          <w:p>
            <w:pPr>
              <w:pStyle w:val="22"/>
            </w:pPr>
            <w:r>
              <w:t>518.80</w:t>
            </w:r>
          </w:p>
        </w:tc>
        <w:tc>
          <w:tcPr>
            <w:tcW w:w="1361" w:type="dxa"/>
            <w:vAlign w:val="center"/>
          </w:tcPr>
          <w:p>
            <w:pPr>
              <w:pStyle w:val="22"/>
            </w:pPr>
            <w:r>
              <w:t>22.80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556.36</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556.36</w:t>
            </w:r>
          </w:p>
        </w:tc>
        <w:tc>
          <w:tcPr>
            <w:tcW w:w="1474" w:type="dxa"/>
            <w:vAlign w:val="center"/>
          </w:tcPr>
          <w:p>
            <w:pPr>
              <w:pStyle w:val="22"/>
            </w:pPr>
            <w:r>
              <w:t>556.36</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556.36</w:t>
            </w:r>
          </w:p>
        </w:tc>
        <w:tc>
          <w:tcPr>
            <w:tcW w:w="3402" w:type="dxa"/>
            <w:vAlign w:val="center"/>
          </w:tcPr>
          <w:p>
            <w:pPr>
              <w:pStyle w:val="25"/>
            </w:pPr>
            <w:r>
              <w:t>本年支出合计</w:t>
            </w:r>
          </w:p>
        </w:tc>
        <w:tc>
          <w:tcPr>
            <w:tcW w:w="1474" w:type="dxa"/>
            <w:vAlign w:val="center"/>
          </w:tcPr>
          <w:p>
            <w:pPr>
              <w:pStyle w:val="26"/>
            </w:pPr>
            <w:r>
              <w:t>556.36</w:t>
            </w:r>
          </w:p>
        </w:tc>
        <w:tc>
          <w:tcPr>
            <w:tcW w:w="1474" w:type="dxa"/>
            <w:vAlign w:val="center"/>
          </w:tcPr>
          <w:p>
            <w:pPr>
              <w:pStyle w:val="26"/>
            </w:pPr>
            <w:r>
              <w:t>556.36</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556.36</w:t>
            </w:r>
          </w:p>
        </w:tc>
        <w:tc>
          <w:tcPr>
            <w:tcW w:w="3402" w:type="dxa"/>
            <w:vAlign w:val="center"/>
          </w:tcPr>
          <w:p>
            <w:pPr>
              <w:pStyle w:val="25"/>
            </w:pPr>
            <w:r>
              <w:t>支出总计</w:t>
            </w:r>
          </w:p>
        </w:tc>
        <w:tc>
          <w:tcPr>
            <w:tcW w:w="1474" w:type="dxa"/>
            <w:vAlign w:val="center"/>
          </w:tcPr>
          <w:p>
            <w:pPr>
              <w:pStyle w:val="26"/>
            </w:pPr>
            <w:r>
              <w:t>556.36</w:t>
            </w:r>
          </w:p>
        </w:tc>
        <w:tc>
          <w:tcPr>
            <w:tcW w:w="1474" w:type="dxa"/>
            <w:vAlign w:val="center"/>
          </w:tcPr>
          <w:p>
            <w:pPr>
              <w:pStyle w:val="26"/>
            </w:pPr>
            <w:r>
              <w:t>556.36</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556.36</w:t>
            </w:r>
          </w:p>
        </w:tc>
        <w:tc>
          <w:tcPr>
            <w:tcW w:w="2551" w:type="dxa"/>
            <w:vAlign w:val="center"/>
          </w:tcPr>
          <w:p>
            <w:pPr>
              <w:pStyle w:val="26"/>
            </w:pPr>
            <w:r>
              <w:t>521.56</w:t>
            </w:r>
          </w:p>
        </w:tc>
        <w:tc>
          <w:tcPr>
            <w:tcW w:w="2551" w:type="dxa"/>
            <w:vAlign w:val="center"/>
          </w:tcPr>
          <w:p>
            <w:pPr>
              <w:pStyle w:val="26"/>
            </w:pPr>
            <w:r>
              <w:t>34.80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556.36</w:t>
            </w:r>
          </w:p>
        </w:tc>
        <w:tc>
          <w:tcPr>
            <w:tcW w:w="2551" w:type="dxa"/>
            <w:vAlign w:val="center"/>
          </w:tcPr>
          <w:p>
            <w:pPr>
              <w:pStyle w:val="22"/>
            </w:pPr>
            <w:r>
              <w:t>521.56</w:t>
            </w:r>
          </w:p>
        </w:tc>
        <w:tc>
          <w:tcPr>
            <w:tcW w:w="2551" w:type="dxa"/>
            <w:vAlign w:val="center"/>
          </w:tcPr>
          <w:p>
            <w:pPr>
              <w:pStyle w:val="22"/>
            </w:pPr>
            <w:r>
              <w:t>34.80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556.36</w:t>
            </w:r>
          </w:p>
        </w:tc>
        <w:tc>
          <w:tcPr>
            <w:tcW w:w="2551" w:type="dxa"/>
            <w:vAlign w:val="center"/>
          </w:tcPr>
          <w:p>
            <w:pPr>
              <w:pStyle w:val="22"/>
            </w:pPr>
            <w:r>
              <w:t>521.56</w:t>
            </w:r>
          </w:p>
        </w:tc>
        <w:tc>
          <w:tcPr>
            <w:tcW w:w="2551" w:type="dxa"/>
            <w:vAlign w:val="center"/>
          </w:tcPr>
          <w:p>
            <w:pPr>
              <w:pStyle w:val="22"/>
            </w:pPr>
            <w:r>
              <w:t>34.80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14.76</w:t>
            </w:r>
          </w:p>
        </w:tc>
        <w:tc>
          <w:tcPr>
            <w:tcW w:w="2551" w:type="dxa"/>
            <w:vAlign w:val="center"/>
          </w:tcPr>
          <w:p>
            <w:pPr>
              <w:pStyle w:val="22"/>
            </w:pPr>
            <w:r>
              <w:t>2.76</w:t>
            </w:r>
          </w:p>
        </w:tc>
        <w:tc>
          <w:tcPr>
            <w:tcW w:w="2551" w:type="dxa"/>
            <w:vAlign w:val="center"/>
          </w:tcPr>
          <w:p>
            <w:pPr>
              <w:pStyle w:val="2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541.60</w:t>
            </w:r>
          </w:p>
        </w:tc>
        <w:tc>
          <w:tcPr>
            <w:tcW w:w="2551" w:type="dxa"/>
            <w:vAlign w:val="center"/>
          </w:tcPr>
          <w:p>
            <w:pPr>
              <w:pStyle w:val="22"/>
            </w:pPr>
            <w:r>
              <w:t>518.80</w:t>
            </w:r>
          </w:p>
        </w:tc>
        <w:tc>
          <w:tcPr>
            <w:tcW w:w="2551" w:type="dxa"/>
            <w:vAlign w:val="center"/>
          </w:tcPr>
          <w:p>
            <w:pPr>
              <w:pStyle w:val="22"/>
            </w:pPr>
            <w:r>
              <w:t>22.80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521.56</w:t>
            </w:r>
          </w:p>
        </w:tc>
        <w:tc>
          <w:tcPr>
            <w:tcW w:w="2551" w:type="dxa"/>
            <w:vAlign w:val="center"/>
          </w:tcPr>
          <w:p>
            <w:pPr>
              <w:pStyle w:val="26"/>
            </w:pPr>
            <w:r>
              <w:t>511.79</w:t>
            </w:r>
          </w:p>
        </w:tc>
        <w:tc>
          <w:tcPr>
            <w:tcW w:w="2551" w:type="dxa"/>
            <w:vAlign w:val="center"/>
          </w:tcPr>
          <w:p>
            <w:pPr>
              <w:pStyle w:val="26"/>
            </w:pPr>
            <w:r>
              <w:t>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411.63</w:t>
            </w:r>
          </w:p>
        </w:tc>
        <w:tc>
          <w:tcPr>
            <w:tcW w:w="2551" w:type="dxa"/>
            <w:vAlign w:val="center"/>
          </w:tcPr>
          <w:p>
            <w:pPr>
              <w:pStyle w:val="22"/>
            </w:pPr>
            <w:r>
              <w:t>411.63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120.33</w:t>
            </w:r>
          </w:p>
        </w:tc>
        <w:tc>
          <w:tcPr>
            <w:tcW w:w="2551" w:type="dxa"/>
            <w:vAlign w:val="center"/>
          </w:tcPr>
          <w:p>
            <w:pPr>
              <w:pStyle w:val="22"/>
            </w:pPr>
            <w:r>
              <w:t>120.33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29.18</w:t>
            </w:r>
          </w:p>
        </w:tc>
        <w:tc>
          <w:tcPr>
            <w:tcW w:w="2551" w:type="dxa"/>
            <w:vAlign w:val="center"/>
          </w:tcPr>
          <w:p>
            <w:pPr>
              <w:pStyle w:val="22"/>
            </w:pPr>
            <w:r>
              <w:t>29.18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163.76</w:t>
            </w:r>
          </w:p>
        </w:tc>
        <w:tc>
          <w:tcPr>
            <w:tcW w:w="2551" w:type="dxa"/>
            <w:vAlign w:val="center"/>
          </w:tcPr>
          <w:p>
            <w:pPr>
              <w:pStyle w:val="22"/>
            </w:pPr>
            <w:r>
              <w:t>163.76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38.68</w:t>
            </w:r>
          </w:p>
        </w:tc>
        <w:tc>
          <w:tcPr>
            <w:tcW w:w="2551" w:type="dxa"/>
            <w:vAlign w:val="center"/>
          </w:tcPr>
          <w:p>
            <w:pPr>
              <w:pStyle w:val="22"/>
            </w:pPr>
            <w:r>
              <w:t>38.68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11.22</w:t>
            </w:r>
          </w:p>
        </w:tc>
        <w:tc>
          <w:tcPr>
            <w:tcW w:w="2551" w:type="dxa"/>
            <w:vAlign w:val="center"/>
          </w:tcPr>
          <w:p>
            <w:pPr>
              <w:pStyle w:val="22"/>
            </w:pPr>
            <w:r>
              <w:t>11.22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2.78</w:t>
            </w:r>
          </w:p>
        </w:tc>
        <w:tc>
          <w:tcPr>
            <w:tcW w:w="2551" w:type="dxa"/>
            <w:vAlign w:val="center"/>
          </w:tcPr>
          <w:p>
            <w:pPr>
              <w:pStyle w:val="22"/>
            </w:pPr>
            <w:r>
              <w:t>2.78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31.60</w:t>
            </w:r>
          </w:p>
        </w:tc>
        <w:tc>
          <w:tcPr>
            <w:tcW w:w="2551" w:type="dxa"/>
            <w:vAlign w:val="center"/>
          </w:tcPr>
          <w:p>
            <w:pPr>
              <w:pStyle w:val="22"/>
            </w:pPr>
            <w:r>
              <w:t>31.60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14.08</w:t>
            </w:r>
          </w:p>
        </w:tc>
        <w:tc>
          <w:tcPr>
            <w:tcW w:w="2551" w:type="dxa"/>
            <w:vAlign w:val="center"/>
          </w:tcPr>
          <w:p>
            <w:pPr>
              <w:pStyle w:val="22"/>
            </w:pPr>
            <w:r>
              <w:t>14.08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9.77</w:t>
            </w:r>
          </w:p>
        </w:tc>
        <w:tc>
          <w:tcPr>
            <w:tcW w:w="2551" w:type="dxa"/>
            <w:vAlign w:val="center"/>
          </w:tcPr>
          <w:p>
            <w:pPr>
              <w:pStyle w:val="22"/>
            </w:pPr>
          </w:p>
        </w:tc>
        <w:tc>
          <w:tcPr>
            <w:tcW w:w="2551" w:type="dxa"/>
            <w:vAlign w:val="center"/>
          </w:tcPr>
          <w:p>
            <w:pPr>
              <w:pStyle w:val="22"/>
            </w:pPr>
            <w:r>
              <w:t>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2.76</w:t>
            </w:r>
          </w:p>
        </w:tc>
        <w:tc>
          <w:tcPr>
            <w:tcW w:w="2551" w:type="dxa"/>
            <w:vAlign w:val="center"/>
          </w:tcPr>
          <w:p>
            <w:pPr>
              <w:pStyle w:val="22"/>
            </w:pPr>
          </w:p>
        </w:tc>
        <w:tc>
          <w:tcPr>
            <w:tcW w:w="2551" w:type="dxa"/>
            <w:vAlign w:val="center"/>
          </w:tcPr>
          <w:p>
            <w:pPr>
              <w:pStyle w:val="22"/>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4.07</w:t>
            </w:r>
          </w:p>
        </w:tc>
        <w:tc>
          <w:tcPr>
            <w:tcW w:w="2551" w:type="dxa"/>
            <w:vAlign w:val="center"/>
          </w:tcPr>
          <w:p>
            <w:pPr>
              <w:pStyle w:val="22"/>
            </w:pPr>
          </w:p>
        </w:tc>
        <w:tc>
          <w:tcPr>
            <w:tcW w:w="2551" w:type="dxa"/>
            <w:vAlign w:val="center"/>
          </w:tcPr>
          <w:p>
            <w:pPr>
              <w:pStyle w:val="22"/>
            </w:pPr>
            <w: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2.94</w:t>
            </w:r>
          </w:p>
        </w:tc>
        <w:tc>
          <w:tcPr>
            <w:tcW w:w="2551" w:type="dxa"/>
            <w:vAlign w:val="center"/>
          </w:tcPr>
          <w:p>
            <w:pPr>
              <w:pStyle w:val="22"/>
            </w:pPr>
          </w:p>
        </w:tc>
        <w:tc>
          <w:tcPr>
            <w:tcW w:w="2551" w:type="dxa"/>
            <w:vAlign w:val="center"/>
          </w:tcPr>
          <w:p>
            <w:pPr>
              <w:pStyle w:val="22"/>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100.16</w:t>
            </w:r>
          </w:p>
        </w:tc>
        <w:tc>
          <w:tcPr>
            <w:tcW w:w="2551" w:type="dxa"/>
            <w:vAlign w:val="center"/>
          </w:tcPr>
          <w:p>
            <w:pPr>
              <w:pStyle w:val="22"/>
            </w:pPr>
            <w:r>
              <w:t>100.16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74.59</w:t>
            </w:r>
          </w:p>
        </w:tc>
        <w:tc>
          <w:tcPr>
            <w:tcW w:w="2551" w:type="dxa"/>
            <w:vAlign w:val="center"/>
          </w:tcPr>
          <w:p>
            <w:pPr>
              <w:pStyle w:val="22"/>
            </w:pPr>
            <w:r>
              <w:t>74.59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25.54</w:t>
            </w:r>
          </w:p>
        </w:tc>
        <w:tc>
          <w:tcPr>
            <w:tcW w:w="2551" w:type="dxa"/>
            <w:vAlign w:val="center"/>
          </w:tcPr>
          <w:p>
            <w:pPr>
              <w:pStyle w:val="22"/>
            </w:pPr>
            <w:r>
              <w:t>25.54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0.03</w:t>
            </w:r>
          </w:p>
        </w:tc>
        <w:tc>
          <w:tcPr>
            <w:tcW w:w="2551" w:type="dxa"/>
            <w:vAlign w:val="center"/>
          </w:tcPr>
          <w:p>
            <w:pPr>
              <w:pStyle w:val="22"/>
            </w:pPr>
            <w:r>
              <w:t>0.03</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501624霸州市扬芬港镇第八小学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霸州市扬芬港镇第八小学2023年单位预算信息公开情况说明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按照《预算法》、《地方预决算公开操作规程》和《关于进一步推进预算公开工作的实施意见》规定，现将霸州市扬芬港镇第八小学2023年单位预算公开如下：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霸州市扬芬港镇第八小学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556.36</w:t>
      </w:r>
      <w:r>
        <w:rPr>
          <w:rFonts w:hint="eastAsia" w:ascii="方正仿宋_GBK"/>
        </w:rPr>
        <w:t>万元，其中：一般公共预算收入</w:t>
      </w:r>
      <w:r>
        <w:rPr>
          <w:rFonts w:hint="eastAsia" w:ascii="方正仿宋_GBK"/>
          <w:lang w:eastAsia="zh-CN"/>
        </w:rPr>
        <w:t>556.36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扬芬港镇第八小学</w:t>
      </w:r>
      <w:r>
        <w:rPr>
          <w:rFonts w:hint="eastAsia" w:ascii="方正仿宋_GBK"/>
        </w:rPr>
        <w:t>单位2023年度单位预算中支出预算的总体情况。2023年支出预算</w:t>
      </w:r>
      <w:r>
        <w:rPr>
          <w:rFonts w:hint="eastAsia" w:ascii="方正仿宋_GBK"/>
          <w:lang w:eastAsia="zh-CN"/>
        </w:rPr>
        <w:t>556.36</w:t>
      </w:r>
      <w:r>
        <w:rPr>
          <w:rFonts w:hint="eastAsia" w:ascii="方正仿宋_GBK"/>
        </w:rPr>
        <w:t>万元，其中：基本支出</w:t>
      </w:r>
      <w:r>
        <w:rPr>
          <w:rFonts w:hint="eastAsia" w:ascii="方正仿宋_GBK"/>
          <w:lang w:eastAsia="zh-CN"/>
        </w:rPr>
        <w:t>521.56</w:t>
      </w:r>
      <w:r>
        <w:rPr>
          <w:rFonts w:hint="eastAsia" w:ascii="方正仿宋_GBK"/>
        </w:rPr>
        <w:t>万元，包括人员经费</w:t>
      </w:r>
      <w:r>
        <w:rPr>
          <w:rFonts w:hint="eastAsia" w:ascii="方正仿宋_GBK"/>
          <w:lang w:eastAsia="zh-CN"/>
        </w:rPr>
        <w:t>511.79</w:t>
      </w:r>
      <w:r>
        <w:rPr>
          <w:rFonts w:hint="eastAsia" w:ascii="方正仿宋_GBK"/>
        </w:rPr>
        <w:t>万元和日常公用经费</w:t>
      </w:r>
      <w:r>
        <w:rPr>
          <w:rFonts w:hint="eastAsia" w:ascii="方正仿宋_GBK"/>
          <w:lang w:eastAsia="zh-CN"/>
        </w:rPr>
        <w:t>9.77</w:t>
      </w:r>
      <w:r>
        <w:rPr>
          <w:rFonts w:hint="eastAsia" w:ascii="方正仿宋_GBK"/>
        </w:rPr>
        <w:t>万元；项目支出</w:t>
      </w:r>
      <w:r>
        <w:rPr>
          <w:rFonts w:hint="eastAsia" w:ascii="方正仿宋_GBK"/>
          <w:lang w:eastAsia="zh-CN"/>
        </w:rPr>
        <w:t>34.8</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15万元，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6.91万元，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0.89万元，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12万元。</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556.36</w:t>
      </w:r>
      <w:r>
        <w:rPr>
          <w:rFonts w:hint="eastAsia" w:ascii="方正仿宋_GBK"/>
        </w:rPr>
        <w:t>万元，较2022年预算增加</w:t>
      </w:r>
      <w:r>
        <w:rPr>
          <w:rFonts w:hint="eastAsia" w:ascii="方正仿宋_GBK"/>
          <w:lang w:eastAsia="zh-CN"/>
        </w:rPr>
        <w:t>26.3</w:t>
      </w:r>
      <w:r>
        <w:rPr>
          <w:rFonts w:hint="eastAsia" w:ascii="方正仿宋_GBK"/>
        </w:rPr>
        <w:t>万元，其中：基本支出增加</w:t>
      </w:r>
      <w:r>
        <w:rPr>
          <w:rFonts w:hint="eastAsia" w:ascii="方正仿宋_GBK"/>
          <w:lang w:eastAsia="zh-CN"/>
        </w:rPr>
        <w:t>55.38</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29.08</w:t>
      </w:r>
      <w:r>
        <w:rPr>
          <w:rFonts w:hint="eastAsia" w:ascii="方正仿宋_GBK"/>
        </w:rPr>
        <w:t>万元，主要为</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及</w:t>
      </w:r>
      <w:r>
        <w:rPr>
          <w:rFonts w:ascii="方正仿宋_GBK" w:hAnsi="方正仿宋_GBK" w:cs="方正仿宋_GBK"/>
          <w:color w:val="000000"/>
        </w:rPr>
        <w:t>学校校舍厕所改造项目工程资金</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9.77</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≥4人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≥80人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≤12万元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2023年，霸州市扬芬港镇第八小学安排政府采购预算1.60万元。具体内容见下表。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501624霸州市扬芬港镇第八小学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1.60</w:t>
            </w:r>
          </w:p>
        </w:tc>
        <w:tc>
          <w:tcPr>
            <w:tcW w:w="964" w:type="dxa"/>
            <w:vAlign w:val="center"/>
          </w:tcPr>
          <w:p>
            <w:pPr>
              <w:pStyle w:val="26"/>
            </w:pPr>
            <w:r>
              <w:t>1.60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霸州市扬芬港镇第八小学小计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1.60</w:t>
            </w:r>
          </w:p>
        </w:tc>
        <w:tc>
          <w:tcPr>
            <w:tcW w:w="964" w:type="dxa"/>
            <w:vAlign w:val="center"/>
          </w:tcPr>
          <w:p>
            <w:pPr>
              <w:pStyle w:val="26"/>
            </w:pPr>
            <w:r>
              <w:t>1.60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6.91</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0.85</w:t>
            </w:r>
          </w:p>
        </w:tc>
        <w:tc>
          <w:tcPr>
            <w:tcW w:w="964" w:type="dxa"/>
            <w:vAlign w:val="center"/>
          </w:tcPr>
          <w:p>
            <w:pPr>
              <w:pStyle w:val="22"/>
            </w:pPr>
            <w:r>
              <w:t>0.85</w:t>
            </w:r>
          </w:p>
        </w:tc>
        <w:tc>
          <w:tcPr>
            <w:tcW w:w="964" w:type="dxa"/>
            <w:vAlign w:val="center"/>
          </w:tcPr>
          <w:p>
            <w:pPr>
              <w:pStyle w:val="22"/>
            </w:pPr>
            <w:r>
              <w:t>0.85</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15.00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0.75</w:t>
            </w:r>
          </w:p>
        </w:tc>
        <w:tc>
          <w:tcPr>
            <w:tcW w:w="964" w:type="dxa"/>
            <w:vAlign w:val="center"/>
          </w:tcPr>
          <w:p>
            <w:pPr>
              <w:pStyle w:val="22"/>
            </w:pPr>
            <w:r>
              <w:t>0.75</w:t>
            </w:r>
          </w:p>
        </w:tc>
        <w:tc>
          <w:tcPr>
            <w:tcW w:w="964" w:type="dxa"/>
            <w:vAlign w:val="center"/>
          </w:tcPr>
          <w:p>
            <w:pPr>
              <w:pStyle w:val="22"/>
            </w:pPr>
            <w:r>
              <w:t>0.75</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0.75</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霸州市扬芬港镇第八小学上年末固定资产金额为</w:t>
      </w:r>
      <w:r>
        <w:rPr>
          <w:rFonts w:hint="eastAsia" w:ascii="方正书宋_GBK" w:hAnsi="方正书宋_GBK" w:eastAsia="方正书宋_GBK" w:cs="方正书宋_GBK"/>
          <w:color w:val="000000"/>
          <w:lang w:eastAsia="zh-CN"/>
        </w:rPr>
        <w:t>240.98</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501624霸州市扬芬港镇第八小学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eastAsia="zh-CN"/>
              </w:rPr>
              <w:t>240.98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19908</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240.98</w:t>
            </w:r>
          </w:p>
        </w:tc>
      </w:tr>
    </w:tbl>
    <w:p>
      <w:pPr>
        <w:ind w:firstLine="640"/>
        <w:rPr>
          <w:rFonts w:ascii="方正书宋_GBK" w:hAnsi="方正书宋_GBK" w:eastAsia="方正书宋_GBK" w:cs="方正书宋_GBK"/>
          <w:color w:val="000000"/>
          <w:lang w:eastAsia="zh-CN"/>
        </w:rPr>
      </w:pPr>
    </w:p>
    <w:p>
      <w:pPr>
        <w:ind w:firstLine="640"/>
        <w:rPr>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19</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20</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f440889a-10df-4c35-8bb6-c70a66f09d76"/>
  </w:docVars>
  <w:rsids>
    <w:rsidRoot w:val="004A1168"/>
    <w:rsid w:val="00012A57"/>
    <w:rsid w:val="000B7353"/>
    <w:rsid w:val="00133E4F"/>
    <w:rsid w:val="00136014"/>
    <w:rsid w:val="001C343D"/>
    <w:rsid w:val="001F67F8"/>
    <w:rsid w:val="002D2FE3"/>
    <w:rsid w:val="002E1E33"/>
    <w:rsid w:val="002F010E"/>
    <w:rsid w:val="003A5231"/>
    <w:rsid w:val="003D654A"/>
    <w:rsid w:val="00464BFB"/>
    <w:rsid w:val="004A1168"/>
    <w:rsid w:val="00524BB6"/>
    <w:rsid w:val="005609CF"/>
    <w:rsid w:val="00560D59"/>
    <w:rsid w:val="005B7AFC"/>
    <w:rsid w:val="005E5837"/>
    <w:rsid w:val="006D6C4D"/>
    <w:rsid w:val="006F70C6"/>
    <w:rsid w:val="00813FAA"/>
    <w:rsid w:val="008B4E5F"/>
    <w:rsid w:val="00967856"/>
    <w:rsid w:val="00972810"/>
    <w:rsid w:val="00985022"/>
    <w:rsid w:val="00991EB1"/>
    <w:rsid w:val="009B55A2"/>
    <w:rsid w:val="00A32A84"/>
    <w:rsid w:val="00A80758"/>
    <w:rsid w:val="00A9064A"/>
    <w:rsid w:val="00A915A7"/>
    <w:rsid w:val="00A95329"/>
    <w:rsid w:val="00AA1FB3"/>
    <w:rsid w:val="00AD578B"/>
    <w:rsid w:val="00B24D2B"/>
    <w:rsid w:val="00B6757F"/>
    <w:rsid w:val="00BB35A7"/>
    <w:rsid w:val="00C57197"/>
    <w:rsid w:val="00C672B5"/>
    <w:rsid w:val="00C71F3F"/>
    <w:rsid w:val="00CC7E62"/>
    <w:rsid w:val="00D513F4"/>
    <w:rsid w:val="00D64AD2"/>
    <w:rsid w:val="00D93167"/>
    <w:rsid w:val="00D9444E"/>
    <w:rsid w:val="00DA5591"/>
    <w:rsid w:val="00E20116"/>
    <w:rsid w:val="00E3061C"/>
    <w:rsid w:val="00E4616B"/>
    <w:rsid w:val="00E81208"/>
    <w:rsid w:val="00EF51BF"/>
    <w:rsid w:val="00F8622B"/>
    <w:rsid w:val="00F96631"/>
    <w:rsid w:val="00FC209C"/>
    <w:rsid w:val="00FD74FD"/>
    <w:rsid w:val="028B158E"/>
    <w:rsid w:val="04ED5A31"/>
    <w:rsid w:val="10B81EFA"/>
    <w:rsid w:val="13907AA5"/>
    <w:rsid w:val="315D58B3"/>
    <w:rsid w:val="4EB245AF"/>
    <w:rsid w:val="6A74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5906</Words>
  <Characters>6978</Characters>
  <Lines>67</Lines>
  <Paragraphs>18</Paragraphs>
  <TotalTime>14</TotalTime>
  <ScaleCrop>false</ScaleCrop>
  <LinksUpToDate>false</LinksUpToDate>
  <CharactersWithSpaces>7144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2023-02-26T03:00:00Z</dcterms:created>
  <dc:creator>Sky123.Org</dc:creator>
  <cp:lastModifiedBy>徐</cp:lastModifiedBy>
  <dcterms:modified xsi:type="dcterms:W3CDTF">2023-02-28T07:32:15Z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680AA7F3850B4FCABF422D1EAD844638</vt:lpwstr>
  </property>
</Properties>
</file>